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90" w:rsidRDefault="00312490" w:rsidP="00312490">
      <w:pPr>
        <w:spacing w:line="400" w:lineRule="exact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附件2.               </w:t>
      </w:r>
    </w:p>
    <w:p w:rsidR="00312490" w:rsidRDefault="00312490" w:rsidP="00312490">
      <w:pPr>
        <w:spacing w:line="4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企业信息公开表</w:t>
      </w:r>
    </w:p>
    <w:p w:rsidR="00312490" w:rsidRPr="008B05F4" w:rsidRDefault="00312490" w:rsidP="00312490">
      <w:pPr>
        <w:spacing w:line="400" w:lineRule="exact"/>
        <w:rPr>
          <w:rFonts w:ascii="方正黑体_GBK" w:eastAsia="方正黑体_GBK" w:hint="eastAsia"/>
          <w:sz w:val="22"/>
          <w:szCs w:val="32"/>
        </w:rPr>
      </w:pPr>
      <w:r w:rsidRPr="008B05F4">
        <w:rPr>
          <w:rFonts w:ascii="方正黑体_GBK" w:eastAsia="方正黑体_GBK" w:hint="eastAsia"/>
          <w:sz w:val="22"/>
          <w:szCs w:val="32"/>
        </w:rPr>
        <w:t>（一）污染物排放超过国家或者地方规定的排放标准，或者虽未超过国家或者地方规定的排放标准，但超过重点污染物排放总量控制指标的；</w:t>
      </w:r>
    </w:p>
    <w:tbl>
      <w:tblPr>
        <w:tblW w:w="12810" w:type="dxa"/>
        <w:jc w:val="center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1443"/>
        <w:gridCol w:w="1701"/>
        <w:gridCol w:w="1884"/>
        <w:gridCol w:w="1589"/>
        <w:gridCol w:w="1763"/>
        <w:gridCol w:w="2046"/>
      </w:tblGrid>
      <w:tr w:rsidR="00312490" w:rsidRPr="009B7811" w:rsidTr="00911482">
        <w:trPr>
          <w:trHeight w:val="464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企业所在地址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排放污染物名称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排放方式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排放浓度和总量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超标及超总量情况</w:t>
            </w:r>
          </w:p>
        </w:tc>
      </w:tr>
      <w:tr w:rsidR="00312490" w:rsidRPr="009B7811" w:rsidTr="00911482">
        <w:trPr>
          <w:trHeight w:val="75"/>
          <w:jc w:val="center"/>
        </w:trPr>
        <w:tc>
          <w:tcPr>
            <w:tcW w:w="2384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南京帆顺包装有限公司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沈正林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南京市江北新区长</w:t>
            </w:r>
            <w:proofErr w:type="gramStart"/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芦</w:t>
            </w:r>
            <w:proofErr w:type="gramEnd"/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街道园区西路68号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ind w:firstLineChars="300" w:firstLine="480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非甲烷总烃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 xml:space="preserve">15m高空 </w:t>
            </w:r>
          </w:p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间断排放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>
              <w:rPr>
                <w:rFonts w:ascii="方正仿宋_GBK" w:eastAsia="方正仿宋_GBK" w:hint="eastAsia"/>
                <w:sz w:val="16"/>
                <w:szCs w:val="32"/>
              </w:rPr>
              <w:t>0.31mg/m³， 限值120 mg/m³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ind w:firstLineChars="350" w:firstLine="560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无</w:t>
            </w:r>
          </w:p>
        </w:tc>
      </w:tr>
    </w:tbl>
    <w:p w:rsidR="00312490" w:rsidRPr="004511CC" w:rsidRDefault="00312490" w:rsidP="00312490">
      <w:pPr>
        <w:spacing w:line="400" w:lineRule="exact"/>
        <w:rPr>
          <w:rFonts w:ascii="黑体" w:eastAsia="黑体"/>
          <w:b/>
          <w:sz w:val="32"/>
          <w:szCs w:val="32"/>
        </w:rPr>
      </w:pPr>
    </w:p>
    <w:p w:rsidR="00312490" w:rsidRPr="008B05F4" w:rsidRDefault="00312490" w:rsidP="00312490">
      <w:pPr>
        <w:spacing w:line="400" w:lineRule="exact"/>
        <w:rPr>
          <w:rFonts w:ascii="方正黑体_GBK" w:eastAsia="方正黑体_GBK"/>
          <w:sz w:val="22"/>
          <w:szCs w:val="32"/>
        </w:rPr>
      </w:pPr>
      <w:r w:rsidRPr="008B05F4">
        <w:rPr>
          <w:rFonts w:ascii="方正黑体_GBK" w:eastAsia="方正黑体_GBK" w:hint="eastAsia"/>
          <w:sz w:val="22"/>
          <w:szCs w:val="32"/>
        </w:rPr>
        <w:t>（二）</w:t>
      </w:r>
      <w:r w:rsidRPr="008B05F4">
        <w:rPr>
          <w:rFonts w:ascii="方正黑体_GBK" w:eastAsia="方正黑体_GBK"/>
          <w:sz w:val="22"/>
          <w:szCs w:val="32"/>
        </w:rPr>
        <w:t>超过单位产品能源消耗限额标准构成高耗能的；</w:t>
      </w:r>
    </w:p>
    <w:tbl>
      <w:tblPr>
        <w:tblW w:w="12713" w:type="dxa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4"/>
        <w:gridCol w:w="1701"/>
        <w:gridCol w:w="2308"/>
        <w:gridCol w:w="1206"/>
        <w:gridCol w:w="1548"/>
        <w:gridCol w:w="2974"/>
      </w:tblGrid>
      <w:tr w:rsidR="00312490" w:rsidRPr="009B7811" w:rsidTr="00911482">
        <w:trPr>
          <w:trHeight w:val="885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企业所在地址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主要能源品种及消耗量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单位产值能耗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单位产品能耗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超过单位产品能耗限额标准情况</w:t>
            </w:r>
          </w:p>
        </w:tc>
      </w:tr>
      <w:tr w:rsidR="00312490" w:rsidRPr="009B7811" w:rsidTr="00911482">
        <w:trPr>
          <w:trHeight w:val="450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南京帆顺包装有限公司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沈正林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南京市江北新区长</w:t>
            </w:r>
            <w:proofErr w:type="gramStart"/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芦</w:t>
            </w:r>
            <w:proofErr w:type="gramEnd"/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街道园区西路68号</w:t>
            </w:r>
          </w:p>
        </w:tc>
        <w:tc>
          <w:tcPr>
            <w:tcW w:w="2308" w:type="dxa"/>
            <w:shd w:val="clear" w:color="auto" w:fill="auto"/>
          </w:tcPr>
          <w:p w:rsidR="00312490" w:rsidRPr="00DE0000" w:rsidRDefault="00312490" w:rsidP="00911482">
            <w:pPr>
              <w:spacing w:line="400" w:lineRule="exact"/>
              <w:rPr>
                <w:rFonts w:ascii="黑体" w:eastAsia="黑体"/>
                <w:b/>
                <w:sz w:val="16"/>
                <w:szCs w:val="32"/>
              </w:rPr>
            </w:pPr>
            <w:r>
              <w:rPr>
                <w:rFonts w:ascii="黑体" w:eastAsia="黑体" w:hint="eastAsia"/>
                <w:b/>
                <w:sz w:val="16"/>
                <w:szCs w:val="32"/>
              </w:rPr>
              <w:t xml:space="preserve">        </w:t>
            </w:r>
            <w:r w:rsidR="009B424B">
              <w:rPr>
                <w:rFonts w:ascii="黑体" w:eastAsia="黑体" w:hint="eastAsia"/>
                <w:b/>
                <w:sz w:val="16"/>
                <w:szCs w:val="32"/>
              </w:rPr>
              <w:t xml:space="preserve">   </w:t>
            </w:r>
            <w:r>
              <w:rPr>
                <w:rFonts w:ascii="黑体" w:eastAsia="黑体" w:hint="eastAsia"/>
                <w:b/>
                <w:sz w:val="16"/>
                <w:szCs w:val="32"/>
              </w:rPr>
              <w:t>电</w:t>
            </w:r>
          </w:p>
        </w:tc>
        <w:tc>
          <w:tcPr>
            <w:tcW w:w="1206" w:type="dxa"/>
            <w:shd w:val="clear" w:color="auto" w:fill="auto"/>
          </w:tcPr>
          <w:p w:rsidR="00312490" w:rsidRPr="00DE0000" w:rsidRDefault="008E7304" w:rsidP="00911482">
            <w:pPr>
              <w:spacing w:line="400" w:lineRule="exact"/>
              <w:rPr>
                <w:rFonts w:ascii="黑体" w:eastAsia="黑体"/>
                <w:b/>
                <w:sz w:val="16"/>
                <w:szCs w:val="32"/>
              </w:rPr>
            </w:pPr>
            <w:r>
              <w:rPr>
                <w:rFonts w:ascii="黑体" w:eastAsia="黑体" w:hint="eastAsia"/>
                <w:b/>
                <w:sz w:val="16"/>
                <w:szCs w:val="32"/>
              </w:rPr>
              <w:t>0.067度/元</w:t>
            </w:r>
          </w:p>
        </w:tc>
        <w:tc>
          <w:tcPr>
            <w:tcW w:w="1548" w:type="dxa"/>
            <w:shd w:val="clear" w:color="auto" w:fill="auto"/>
          </w:tcPr>
          <w:p w:rsidR="00312490" w:rsidRPr="00DE0000" w:rsidRDefault="008E7304" w:rsidP="00911482">
            <w:pPr>
              <w:spacing w:line="400" w:lineRule="exact"/>
              <w:rPr>
                <w:rFonts w:ascii="黑体" w:eastAsia="黑体"/>
                <w:b/>
                <w:sz w:val="16"/>
                <w:szCs w:val="32"/>
              </w:rPr>
            </w:pPr>
            <w:r>
              <w:rPr>
                <w:rFonts w:ascii="黑体" w:eastAsia="黑体" w:hint="eastAsia"/>
                <w:b/>
                <w:sz w:val="16"/>
                <w:szCs w:val="32"/>
              </w:rPr>
              <w:t>0.94度/KG</w:t>
            </w:r>
          </w:p>
        </w:tc>
        <w:tc>
          <w:tcPr>
            <w:tcW w:w="2974" w:type="dxa"/>
            <w:shd w:val="clear" w:color="auto" w:fill="auto"/>
          </w:tcPr>
          <w:p w:rsidR="00312490" w:rsidRPr="00DE0000" w:rsidRDefault="008E7304" w:rsidP="00911482">
            <w:pPr>
              <w:spacing w:line="400" w:lineRule="exact"/>
              <w:rPr>
                <w:rFonts w:ascii="黑体" w:eastAsia="黑体"/>
                <w:b/>
                <w:sz w:val="16"/>
                <w:szCs w:val="32"/>
              </w:rPr>
            </w:pPr>
            <w:r>
              <w:rPr>
                <w:rFonts w:ascii="黑体" w:eastAsia="黑体" w:hint="eastAsia"/>
                <w:b/>
                <w:sz w:val="16"/>
                <w:szCs w:val="32"/>
              </w:rPr>
              <w:t xml:space="preserve">     无</w:t>
            </w:r>
          </w:p>
        </w:tc>
      </w:tr>
    </w:tbl>
    <w:p w:rsidR="00312490" w:rsidRPr="004511CC" w:rsidRDefault="00312490" w:rsidP="00312490">
      <w:pPr>
        <w:spacing w:line="400" w:lineRule="exact"/>
        <w:rPr>
          <w:rFonts w:ascii="黑体" w:eastAsia="黑体"/>
          <w:b/>
          <w:sz w:val="32"/>
          <w:szCs w:val="32"/>
        </w:rPr>
      </w:pPr>
    </w:p>
    <w:p w:rsidR="00312490" w:rsidRPr="008B05F4" w:rsidRDefault="00312490" w:rsidP="00312490">
      <w:pPr>
        <w:spacing w:line="400" w:lineRule="exact"/>
        <w:rPr>
          <w:rFonts w:ascii="方正黑体_GBK" w:eastAsia="方正黑体_GBK"/>
          <w:sz w:val="22"/>
          <w:szCs w:val="32"/>
        </w:rPr>
      </w:pPr>
      <w:r w:rsidRPr="008B05F4">
        <w:rPr>
          <w:rFonts w:ascii="方正黑体_GBK" w:eastAsia="方正黑体_GBK" w:hint="eastAsia"/>
          <w:sz w:val="22"/>
          <w:szCs w:val="32"/>
        </w:rPr>
        <w:t>（三）</w:t>
      </w:r>
      <w:r w:rsidRPr="008B05F4">
        <w:rPr>
          <w:rFonts w:ascii="方正黑体_GBK" w:eastAsia="方正黑体_GBK"/>
          <w:sz w:val="22"/>
          <w:szCs w:val="32"/>
        </w:rPr>
        <w:t>使用有毒有害原料进行生产或者在生产中排放有毒有害物质的</w:t>
      </w:r>
      <w:r w:rsidRPr="008B05F4">
        <w:rPr>
          <w:rFonts w:ascii="方正黑体_GBK" w:eastAsia="方正黑体_GBK" w:hint="eastAsia"/>
          <w:sz w:val="22"/>
          <w:szCs w:val="32"/>
        </w:rPr>
        <w:t>；</w:t>
      </w:r>
      <w:bookmarkStart w:id="0" w:name="_GoBack"/>
      <w:bookmarkEnd w:id="0"/>
    </w:p>
    <w:tbl>
      <w:tblPr>
        <w:tblW w:w="12583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1293"/>
        <w:gridCol w:w="1941"/>
        <w:gridCol w:w="3314"/>
        <w:gridCol w:w="1985"/>
        <w:gridCol w:w="2181"/>
      </w:tblGrid>
      <w:tr w:rsidR="00312490" w:rsidRPr="009B7811" w:rsidTr="00911482">
        <w:trPr>
          <w:trHeight w:val="968"/>
          <w:jc w:val="center"/>
        </w:trPr>
        <w:tc>
          <w:tcPr>
            <w:tcW w:w="1869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企业单位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企业所在地址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使用有毒有害原料的名称、数量、用途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危险废物的产生和处置情况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312490" w:rsidRPr="008E46A1" w:rsidRDefault="00312490" w:rsidP="0091148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8E46A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2"/>
                <w:szCs w:val="22"/>
              </w:rPr>
              <w:t>依法落实风险防控措施情况</w:t>
            </w:r>
          </w:p>
        </w:tc>
      </w:tr>
      <w:tr w:rsidR="00312490" w:rsidRPr="009B7811" w:rsidTr="00911482">
        <w:trPr>
          <w:trHeight w:val="489"/>
          <w:jc w:val="center"/>
        </w:trPr>
        <w:tc>
          <w:tcPr>
            <w:tcW w:w="1869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南京帆顺包装有限公司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沈正林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 w:hint="eastAsia"/>
                <w:sz w:val="16"/>
                <w:szCs w:val="32"/>
              </w:rPr>
            </w:pPr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南京市江北新区长</w:t>
            </w:r>
            <w:proofErr w:type="gramStart"/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芦</w:t>
            </w:r>
            <w:proofErr w:type="gramEnd"/>
            <w:r w:rsidRPr="00DE0000">
              <w:rPr>
                <w:rFonts w:ascii="方正仿宋_GBK" w:eastAsia="方正仿宋_GBK" w:hint="eastAsia"/>
                <w:sz w:val="16"/>
                <w:szCs w:val="32"/>
              </w:rPr>
              <w:t>街道园区西路68号</w:t>
            </w:r>
          </w:p>
        </w:tc>
        <w:tc>
          <w:tcPr>
            <w:tcW w:w="3314" w:type="dxa"/>
            <w:shd w:val="clear" w:color="auto" w:fill="auto"/>
          </w:tcPr>
          <w:p w:rsidR="00312490" w:rsidRPr="00ED5C55" w:rsidRDefault="00312490" w:rsidP="00911482">
            <w:pPr>
              <w:spacing w:line="400" w:lineRule="exact"/>
              <w:rPr>
                <w:rFonts w:ascii="方正仿宋_GBK" w:eastAsia="方正仿宋_GBK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sz w:val="24"/>
                <w:szCs w:val="21"/>
              </w:rPr>
              <w:t xml:space="preserve">        不涉及</w:t>
            </w:r>
          </w:p>
        </w:tc>
        <w:tc>
          <w:tcPr>
            <w:tcW w:w="1985" w:type="dxa"/>
            <w:shd w:val="clear" w:color="auto" w:fill="auto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/>
                <w:sz w:val="16"/>
                <w:szCs w:val="21"/>
              </w:rPr>
            </w:pPr>
          </w:p>
        </w:tc>
        <w:tc>
          <w:tcPr>
            <w:tcW w:w="2181" w:type="dxa"/>
            <w:shd w:val="clear" w:color="auto" w:fill="auto"/>
          </w:tcPr>
          <w:p w:rsidR="00312490" w:rsidRPr="00DE0000" w:rsidRDefault="00312490" w:rsidP="00911482">
            <w:pPr>
              <w:spacing w:line="400" w:lineRule="exact"/>
              <w:rPr>
                <w:rFonts w:ascii="方正仿宋_GBK" w:eastAsia="方正仿宋_GBK"/>
                <w:sz w:val="16"/>
                <w:szCs w:val="21"/>
              </w:rPr>
            </w:pPr>
          </w:p>
        </w:tc>
      </w:tr>
    </w:tbl>
    <w:p w:rsidR="00312490" w:rsidRPr="00DD45D7" w:rsidRDefault="00312490" w:rsidP="00312490">
      <w:pPr>
        <w:spacing w:line="400" w:lineRule="exact"/>
        <w:rPr>
          <w:rFonts w:eastAsia="方正楷体_GBK" w:hint="eastAsia"/>
          <w:color w:val="000000"/>
          <w:kern w:val="0"/>
          <w:sz w:val="22"/>
          <w:szCs w:val="22"/>
        </w:rPr>
      </w:pPr>
      <w:r w:rsidRPr="00DD45D7">
        <w:rPr>
          <w:rFonts w:ascii="黑体" w:eastAsia="黑体" w:hAnsi="宋体" w:cs="宋体" w:hint="eastAsia"/>
          <w:bCs/>
          <w:color w:val="000000"/>
          <w:kern w:val="0"/>
          <w:sz w:val="22"/>
          <w:szCs w:val="22"/>
        </w:rPr>
        <w:t>注：</w:t>
      </w:r>
      <w:r w:rsidRPr="00DD45D7">
        <w:rPr>
          <w:rFonts w:eastAsia="方正楷体_GBK" w:hint="eastAsia"/>
          <w:color w:val="000000"/>
          <w:kern w:val="0"/>
          <w:sz w:val="22"/>
          <w:szCs w:val="22"/>
        </w:rPr>
        <w:t>符合两款以上情况的企业，应当参照上述要求同时公布相关信息。</w:t>
      </w:r>
    </w:p>
    <w:p w:rsidR="00F619BC" w:rsidRPr="00312490" w:rsidRDefault="00F619BC"/>
    <w:sectPr w:rsidR="00F619BC" w:rsidRPr="00312490" w:rsidSect="003124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90"/>
    <w:rsid w:val="00312490"/>
    <w:rsid w:val="008E7304"/>
    <w:rsid w:val="009B424B"/>
    <w:rsid w:val="00F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82</Words>
  <Characters>469</Characters>
  <Application>Microsoft Office Word</Application>
  <DocSecurity>0</DocSecurity>
  <Lines>3</Lines>
  <Paragraphs>1</Paragraphs>
  <ScaleCrop>false</ScaleCrop>
  <Company>Sky123.Org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2019-04-19T03:54:00Z</dcterms:created>
  <dcterms:modified xsi:type="dcterms:W3CDTF">2019-04-19T05:00:00Z</dcterms:modified>
</cp:coreProperties>
</file>